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155B">
      <w:pPr>
        <w:pStyle w:val="ConsPlusTitle"/>
        <w:jc w:val="center"/>
        <w:outlineLvl w:val="1"/>
      </w:pPr>
      <w:r>
        <w:t>VI. Фин</w:t>
      </w:r>
      <w:r>
        <w:t>ансовое обеспечение медицинской помощи,</w:t>
      </w:r>
    </w:p>
    <w:p w:rsidR="00000000" w:rsidRDefault="0027155B">
      <w:pPr>
        <w:pStyle w:val="ConsPlusTitle"/>
        <w:jc w:val="center"/>
      </w:pPr>
      <w:r>
        <w:t>предоставляемой за счет средств бюджета Пермского края</w:t>
      </w:r>
    </w:p>
    <w:p w:rsidR="00000000" w:rsidRDefault="0027155B">
      <w:pPr>
        <w:pStyle w:val="ConsPlusNormal"/>
        <w:jc w:val="both"/>
      </w:pPr>
    </w:p>
    <w:p w:rsidR="00000000" w:rsidRDefault="0027155B">
      <w:pPr>
        <w:pStyle w:val="ConsPlusNormal"/>
        <w:ind w:firstLine="540"/>
        <w:jc w:val="both"/>
      </w:pPr>
      <w:r>
        <w:t>За счет средств бюджета Пермского края осуществляется финансовое обеспечение: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1. санитарно-авиационной эвакуации, осуществляемой воздушными судами, оказание спе</w:t>
      </w:r>
      <w:r>
        <w:t>циализированной медицинской помощи отделениями экстренной консультативной скорой медицинской помощи;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2. первичной специализированной медико-санитарной помощи по психиатрии в части судебно-психиатрической экспертизы;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3. специализированной медицинской помощи</w:t>
      </w:r>
      <w:r>
        <w:t xml:space="preserve"> по психиатрии в части судебно-психиатрической экспертизы;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4. 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</w:t>
      </w:r>
      <w:r>
        <w:t xml:space="preserve"> стационарно, включая койки паллиативной медицинской помощи и койки сестринского ухода;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5. высокотехнологичной медицинской помощи, не включенной в Базовую программу ОМС, в соответствии с установленным государственным заданием и перечнем видов, определенным</w:t>
      </w:r>
      <w:r>
        <w:t xml:space="preserve"> </w:t>
      </w:r>
      <w:hyperlink w:anchor="Par3909" w:tooltip="Раздел II. Перечень видов высокотехнологичной медицинской" w:history="1">
        <w:r>
          <w:rPr>
            <w:color w:val="0000FF"/>
          </w:rPr>
          <w:t>разделом II</w:t>
        </w:r>
      </w:hyperlink>
      <w:r>
        <w:t xml:space="preserve"> приложения 2 к Территориальной программе государственных гарантий;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6. расходов медицинских организаций, не включенных в структуру тарифов на оплату медицинс</w:t>
      </w:r>
      <w:r>
        <w:t>кой помощи, предусмотренную в Территориальной программе обязательного медицинского страхования;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7. организации и заготовки, хранения, транспортировки и обеспечения безопасности донорской крови и (или) ее компонентов в медицинских организациях (подразделени</w:t>
      </w:r>
      <w:r>
        <w:t>ях медицинских организаций) государственной системы здравоохранения, участвующих в реализации Территориальной программы государственных гарантий, а также выплат донорам, сдавшим кровь и (или) ее компоненты, дополнительно к выплатам, установленным Федеральн</w:t>
      </w:r>
      <w:r>
        <w:t xml:space="preserve">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20 июля 2012 г. N 125-ФЗ "О донорстве крови и ее компонентов", в </w:t>
      </w:r>
      <w:hyperlink r:id="rId7" w:history="1">
        <w:r>
          <w:rPr>
            <w:color w:val="0000FF"/>
          </w:rPr>
          <w:t>размере</w:t>
        </w:r>
      </w:hyperlink>
      <w:r>
        <w:t xml:space="preserve"> и в </w:t>
      </w:r>
      <w:hyperlink r:id="rId8" w:history="1">
        <w:r>
          <w:rPr>
            <w:color w:val="0000FF"/>
          </w:rPr>
          <w:t>порядке</w:t>
        </w:r>
      </w:hyperlink>
      <w:r>
        <w:t>, которые утверждены постановлением Правительства Пермского края от 24 января 2014 г. N 42-п "О в</w:t>
      </w:r>
      <w:r>
        <w:t>ыплатах донорам, сдавшим кровь и (или) ее компоненты";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8. медицинской помощи и иных государственных услуг (выполнения работ) в медицинских организациях, за исключением видов медицинской помощи, оказываемой за счет средств обязательного медицинского страхов</w:t>
      </w:r>
      <w:r>
        <w:t>ания, в соответствующих структурных подразделениях медицинских организаций, центре медицины катастроф, бюро судебно-медицинской экспертизы и патолого-анатомических исследований, медицинском информационно-аналитическом центре, центре бухгалтерского учета, н</w:t>
      </w:r>
      <w:r>
        <w:t>а станции переливания крови, также осуществляется финансовое обеспечение авиационных работ при санитарно-авиационной эвакуации, осуществляемой воздушными судами;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 xml:space="preserve">9. проведения патолого-анатомических вскрытий (посмертное патолого-анатомическое исследование </w:t>
      </w:r>
      <w:r>
        <w:t xml:space="preserve">внутренних органов и тканей умершего человека, новорожденных, а также </w:t>
      </w:r>
      <w:r>
        <w:lastRenderedPageBreak/>
        <w:t>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</w:t>
      </w:r>
      <w:r>
        <w:t>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организациях федеральным органам исполнительной власти, Министерству и органам местного са</w:t>
      </w:r>
      <w:r>
        <w:t>моуправления соответственно: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</w:t>
      </w:r>
      <w:r>
        <w:t>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 и больницах сестрин</w:t>
      </w:r>
      <w:r>
        <w:t>ского ухода;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</w:t>
      </w:r>
      <w:r>
        <w:t xml:space="preserve"> целях установления причины смерти установлена законодательством Российской Федерации;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10. предоставления иных услуг и проведения мероприятий в сфере здравоохранения в части: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10.1. иных услуг, предоставляемых государственными учреждениями здравоохранения: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 xml:space="preserve">по обеспечению специальными и молочными продуктами питания детей в возрасте до трех лет по заключению врача в порядке, утвержденном приказом Министерства, содержанию раздаточных пунктов выдачи молочных продуктов для питания детей в возрасте от 0 до 3 лет, </w:t>
      </w:r>
      <w:r>
        <w:t>находящихся вне зданий детских поликлиник;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по проведению клинической лабораторной диагностики в части химико-токсикологической, генетической, бактериологической лабораторий, по проведению исследования на вирус иммунодефицита человека в клинико-диагностичес</w:t>
      </w:r>
      <w:r>
        <w:t>кой лаборатории;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по профилактике инфекционных и неинфекционных заболеваний, формированию здорового образа жизни и санитарно-гигиеническому просвещению населения;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по профилактике кризисных состояний и суицидального поведения у детей старше 15 лет и взрослог</w:t>
      </w:r>
      <w:r>
        <w:t>о населения Пермского края;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по проведению обязательных предварительных (при поступлении на работу) медицинских осмотров студентов студенческих отрядов;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по функционированию организационно-методических отделов, обеспечивающих общее методологическое руководст</w:t>
      </w:r>
      <w:r>
        <w:t>во качеством и доступностью медицинской помощи, совершенствование механизмов организации медицинской помощи в государственных учреждениях здравоохранения Пермского края в соответствии с приказом Министерства;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10.2. мероприятий: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lastRenderedPageBreak/>
        <w:t>10.2.1. по централизованным закупкам лекарственных препаратов, расходных материалов и прочих услуг в части: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организации и обеспечения лекарственными препаратами в соответствии с перечнем групп населения и категорий заболеваний, при амбулаторном лечении кот</w:t>
      </w:r>
      <w:r>
        <w:t xml:space="preserve">орых лекарственные средства и изделия медицинского назначения в соответствии с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1994 г. N 890 "О государстве</w:t>
      </w:r>
      <w:r>
        <w:t>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отпускаются по рецептам врачей бесплатно, с учетом лекарственных препаратов, пр</w:t>
      </w:r>
      <w:r>
        <w:t>едусмотренных перечнем жизненно необходимых и важнейших лекарственных препаратов, утверждаемым Правительством Российской Федерации;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 xml:space="preserve">организации и обеспечения лекарственными препаратами в соответствии с </w:t>
      </w:r>
      <w:hyperlink r:id="rId10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в соответствии с постановлением Правительства Российской Федерации от 30 июля 1994 г. N 890 "О государственной поддержк</w:t>
      </w:r>
      <w:r>
        <w:t>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отпускаются по рецептам врачей с 50-процентной скидкой со свободных цен, с учетом лекарствен</w:t>
      </w:r>
      <w:r>
        <w:t>ных препаратов, предусмотренных перечнем жизненно необходимых и важнейших лекарственных препаратов, утверждаемым Правительством Российской Федерации;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приобретения лекарственных препаратов для больных ВИЧ-инфекцией, гепатитами B и C, а также противотуберкул</w:t>
      </w:r>
      <w:r>
        <w:t xml:space="preserve">езных препаратов с целью применения в амбулаторных условиях в соответствии с </w:t>
      </w:r>
      <w:hyperlink r:id="rId11" w:history="1">
        <w:r>
          <w:rPr>
            <w:color w:val="0000FF"/>
          </w:rPr>
          <w:t>пунктом 2 части 1 статьи 16</w:t>
        </w:r>
      </w:hyperlink>
      <w:r>
        <w:t xml:space="preserve"> Федерального закона N 323-ФЗ;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обеспечения</w:t>
      </w:r>
      <w:r>
        <w:t xml:space="preserve">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</w:t>
      </w:r>
      <w:r>
        <w:t>их редких (орфанных) заболеваний, приводящих к сокращению продолжительности жизни гражданина или его инвалидности;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обеспечения расходными материалами к инсулиновой помпе детей, больных сахарным диабетом;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обеспечения расходными материалами к инсулиновой пом</w:t>
      </w:r>
      <w:r>
        <w:t>пе взрослых, больных сахарным диабетом, являющихся региональными льготополучателями;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 xml:space="preserve">обеспечения услугами хранения, распределения и отпуска наркотических средств и психотропных веществ и их прекурсоров в соответствии с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Правительства Пермского края от 14 декабря 2010 г. N 245-рп "Об уполномоченной организации по приобретению, хранению, распределению наркотических средств и психотропных веществ";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обеспеч</w:t>
      </w:r>
      <w:r>
        <w:t>ения детей, больных муковисцидозом, медицинским изделием: гипертонический раствор для ингаляций;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10.2.2. иных мероприятий: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lastRenderedPageBreak/>
        <w:t xml:space="preserve">приобретения медицинских иммунобиологических препаратов по эпидемиологическим показаниям в соответствии с </w:t>
      </w:r>
      <w:hyperlink r:id="rId13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показаниям, утвержденным приказом Министерства здравоохранения Российской Федерации от 06 декабря 2021 г. N 1122н "Об у</w:t>
      </w:r>
      <w:r>
        <w:t>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обеспечения оказания специализированной медицинской помощи гражданам, больным соч</w:t>
      </w:r>
      <w:r>
        <w:t>етанной тяжелой соматической и психической патологией;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организации специализированной медицинской помощи по фенотипированию и трансплантации почки (почек);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оплаты проезда пациентов по направлению Министерства в медицинские специализированные организации за</w:t>
      </w:r>
      <w:r>
        <w:t xml:space="preserve"> пределы Пермского края для лечения и (или) обследования по видам медицинской помощи, не включенным в Базовую программу ОМС, а также в туберкулезные санатории для санаторно-курортного лечения в соответствии с приказом Министерства. Право на оплату проезда </w:t>
      </w:r>
      <w:r>
        <w:t>за счет средств бюджета Пермского края имеют граждане, зарегистрированные и постоянно проживающие на территории Пермского края, за исключением отдельной категории граждан Пермского края, которым в соответствии с законом Российской Федерации предоставляется</w:t>
      </w:r>
      <w:r>
        <w:t xml:space="preserve"> государственная социальная помощь в виде набора социальных услуг;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организации оказания медицинской помощи по слуховому протезированию с использованием слуховых аппаратов и (или) ушных вкладышей индивидуального изготовления детям в возрасте до 17 лет включ</w:t>
      </w:r>
      <w:r>
        <w:t>ительно и пенсионерам по старости, не имеющим инвалидности, являющимся жителями Пермского края и постоянно проживающим на территории Пермского края, при наличии у них медицинских показаний в соответствии с приказом Министерства;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возмещения расходов, связан</w:t>
      </w:r>
      <w:r>
        <w:t>ных с оказанием гражданам медицинской помощи в экстренной форме медицинской организацией, не участвующей в реализации Территориальной программы государственных гарантий, в соответствии с порядком, утвержденным нормативным правовым актом Правительства Пермс</w:t>
      </w:r>
      <w:r>
        <w:t>кого края;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приведения материально-технической базы подведомственных учреждений в нормативное состояние;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обеспечения детей-инвалидов, больных сахарным диабетом, медицинским изделием - системой непрерывного мониторирования глюкозы;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приема, хранения и уничтож</w:t>
      </w:r>
      <w:r>
        <w:t>ения неиспользованных наркотических средств и психотропных веществ;</w:t>
      </w:r>
    </w:p>
    <w:p w:rsidR="00000000" w:rsidRDefault="0027155B">
      <w:pPr>
        <w:pStyle w:val="ConsPlusNormal"/>
        <w:spacing w:before="240"/>
        <w:ind w:firstLine="540"/>
        <w:jc w:val="both"/>
      </w:pPr>
      <w:r>
        <w:t>обеспечения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</w:t>
      </w:r>
      <w:r>
        <w:t>дом заместительной почечной терапии, и обратно;</w:t>
      </w:r>
    </w:p>
    <w:p w:rsidR="00000000" w:rsidRDefault="0027155B" w:rsidP="00AB3713">
      <w:pPr>
        <w:pStyle w:val="ConsPlusNormal"/>
        <w:spacing w:before="240"/>
        <w:ind w:firstLine="540"/>
        <w:jc w:val="both"/>
      </w:pPr>
      <w:r>
        <w:t xml:space="preserve">10.2.3. по софинансированию расходных обязательств Пермского края при реализации мероприятий, предусмотренных заключенными соглашениями о предоставлении межбюджетного </w:t>
      </w:r>
      <w:r>
        <w:lastRenderedPageBreak/>
        <w:t>трансферта (субсидии).</w:t>
      </w:r>
      <w:bookmarkStart w:id="0" w:name="_GoBack"/>
      <w:bookmarkEnd w:id="0"/>
      <w:r w:rsidR="00AB3713">
        <w:t xml:space="preserve"> </w:t>
      </w:r>
    </w:p>
    <w:p w:rsidR="0027155B" w:rsidRDefault="002715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155B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55B" w:rsidRDefault="0027155B">
      <w:pPr>
        <w:spacing w:after="0" w:line="240" w:lineRule="auto"/>
      </w:pPr>
      <w:r>
        <w:separator/>
      </w:r>
    </w:p>
  </w:endnote>
  <w:endnote w:type="continuationSeparator" w:id="0">
    <w:p w:rsidR="0027155B" w:rsidRDefault="0027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155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7155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7155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7155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B371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B3713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B371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B3713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7155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55B" w:rsidRDefault="0027155B">
      <w:pPr>
        <w:spacing w:after="0" w:line="240" w:lineRule="auto"/>
      </w:pPr>
      <w:r>
        <w:separator/>
      </w:r>
    </w:p>
  </w:footnote>
  <w:footnote w:type="continuationSeparator" w:id="0">
    <w:p w:rsidR="0027155B" w:rsidRDefault="0027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7155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13.02.2024 N 96-п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7155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18.03.2024</w:t>
          </w:r>
        </w:p>
      </w:tc>
    </w:tr>
  </w:tbl>
  <w:p w:rsidR="00000000" w:rsidRDefault="0027155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7155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13"/>
    <w:rsid w:val="0027155B"/>
    <w:rsid w:val="00A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F2CD7A-9A1D-48FA-9B50-A19F204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63753&amp;date=18.03.2024&amp;dst=100036&amp;field=134" TargetMode="External"/><Relationship Id="rId13" Type="http://schemas.openxmlformats.org/officeDocument/2006/relationships/hyperlink" Target="https://login.consultant.ru/link/?req=doc&amp;base=LAW&amp;n=403902&amp;date=18.03.2024&amp;dst=100097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8&amp;n=163753&amp;date=18.03.2024&amp;dst=100016&amp;field=134" TargetMode="External"/><Relationship Id="rId12" Type="http://schemas.openxmlformats.org/officeDocument/2006/relationships/hyperlink" Target="https://login.consultant.ru/link/?req=doc&amp;base=RLAW368&amp;n=178030&amp;date=18.03.202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50&amp;date=18.03.2024" TargetMode="External"/><Relationship Id="rId11" Type="http://schemas.openxmlformats.org/officeDocument/2006/relationships/hyperlink" Target="https://login.consultant.ru/link/?req=doc&amp;base=LAW&amp;n=466112&amp;date=18.03.2024&amp;dst=100206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503&amp;date=18.03.2024&amp;dst=1007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503&amp;date=18.03.202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1790</Words>
  <Characters>10205</Characters>
  <Application>Microsoft Office Word</Application>
  <DocSecurity>2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vt:lpstr>
    </vt:vector>
  </TitlesOfParts>
  <Company>КонсультантПлюс Версия 4023.00.50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dc:title>
  <dc:subject/>
  <dc:creator>Adm52</dc:creator>
  <cp:keywords/>
  <dc:description/>
  <cp:lastModifiedBy>Adm52</cp:lastModifiedBy>
  <cp:revision>2</cp:revision>
  <dcterms:created xsi:type="dcterms:W3CDTF">2024-03-17T23:46:00Z</dcterms:created>
  <dcterms:modified xsi:type="dcterms:W3CDTF">2024-03-17T23:46:00Z</dcterms:modified>
</cp:coreProperties>
</file>